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7D" w:rsidRPr="00C9260A" w:rsidRDefault="003F537D" w:rsidP="003F537D">
      <w:pPr>
        <w:pStyle w:val="NoSpacing"/>
        <w:jc w:val="center"/>
        <w:rPr>
          <w:rFonts w:ascii="Arial" w:hAnsi="Arial" w:cs="Arial"/>
          <w:b/>
          <w:u w:val="single"/>
        </w:rPr>
      </w:pPr>
      <w:r w:rsidRPr="00C9260A">
        <w:rPr>
          <w:rFonts w:ascii="Arial" w:hAnsi="Arial" w:cs="Arial"/>
          <w:b/>
          <w:u w:val="single"/>
        </w:rPr>
        <w:t>SOUTHERN POWER DISTRIBUTION COMPANY OF TELANGANA LIMITED</w:t>
      </w:r>
    </w:p>
    <w:p w:rsidR="003F537D" w:rsidRDefault="003F537D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the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Superintending Engineer,</w:t>
      </w:r>
    </w:p>
    <w:p w:rsidR="003F537D" w:rsidRDefault="003F537D" w:rsidP="003F537D">
      <w:pPr>
        <w:pStyle w:val="NoSpacing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Operation, Rajendranagar Circle</w:t>
      </w: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CC06CA" w:rsidRDefault="00CC06CA" w:rsidP="003F537D">
      <w:pPr>
        <w:pStyle w:val="NoSpacing"/>
        <w:jc w:val="both"/>
        <w:rPr>
          <w:rFonts w:ascii="Arial" w:hAnsi="Arial" w:cs="Arial"/>
        </w:rPr>
      </w:pPr>
    </w:p>
    <w:p w:rsidR="00846862" w:rsidRDefault="008C02D5" w:rsidP="00352713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TENDER NOTIFICATION NO. </w:t>
      </w:r>
      <w:r w:rsidR="00A35413">
        <w:rPr>
          <w:rFonts w:ascii="Arial" w:hAnsi="Arial" w:cs="Arial"/>
          <w:b/>
          <w:u w:val="single"/>
        </w:rPr>
        <w:t>1</w:t>
      </w:r>
      <w:r w:rsidR="00004EC4">
        <w:rPr>
          <w:rFonts w:ascii="Arial" w:hAnsi="Arial" w:cs="Arial"/>
          <w:b/>
          <w:u w:val="single"/>
        </w:rPr>
        <w:t>2</w:t>
      </w:r>
      <w:r w:rsidR="003F537D">
        <w:rPr>
          <w:rFonts w:ascii="Arial" w:hAnsi="Arial" w:cs="Arial"/>
          <w:b/>
          <w:u w:val="single"/>
        </w:rPr>
        <w:t>/2</w:t>
      </w:r>
      <w:r w:rsidR="007310DA">
        <w:rPr>
          <w:rFonts w:ascii="Arial" w:hAnsi="Arial" w:cs="Arial"/>
          <w:b/>
          <w:u w:val="single"/>
        </w:rPr>
        <w:t>4</w:t>
      </w:r>
      <w:r w:rsidR="003F537D">
        <w:rPr>
          <w:rFonts w:ascii="Arial" w:hAnsi="Arial" w:cs="Arial"/>
          <w:b/>
          <w:u w:val="single"/>
        </w:rPr>
        <w:t>-2</w:t>
      </w:r>
      <w:r w:rsidR="007310DA">
        <w:rPr>
          <w:rFonts w:ascii="Arial" w:hAnsi="Arial" w:cs="Arial"/>
          <w:b/>
          <w:u w:val="single"/>
        </w:rPr>
        <w:t>5</w:t>
      </w:r>
    </w:p>
    <w:p w:rsidR="00214934" w:rsidRDefault="00214934" w:rsidP="00352713">
      <w:pPr>
        <w:pStyle w:val="NoSpacing"/>
        <w:jc w:val="center"/>
        <w:rPr>
          <w:rFonts w:ascii="Arial" w:hAnsi="Arial" w:cs="Arial"/>
          <w:b/>
          <w:u w:val="single"/>
        </w:rPr>
      </w:pPr>
    </w:p>
    <w:tbl>
      <w:tblPr>
        <w:tblW w:w="10404" w:type="dxa"/>
        <w:tblInd w:w="93" w:type="dxa"/>
        <w:tblLook w:val="04A0" w:firstRow="1" w:lastRow="0" w:firstColumn="1" w:lastColumn="0" w:noHBand="0" w:noVBand="1"/>
      </w:tblPr>
      <w:tblGrid>
        <w:gridCol w:w="1301"/>
        <w:gridCol w:w="1307"/>
        <w:gridCol w:w="4072"/>
        <w:gridCol w:w="1274"/>
        <w:gridCol w:w="1589"/>
        <w:gridCol w:w="861"/>
      </w:tblGrid>
      <w:tr w:rsidR="00F70195" w:rsidRPr="00F70195" w:rsidTr="0047322A">
        <w:trPr>
          <w:trHeight w:val="705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195">
              <w:rPr>
                <w:rFonts w:ascii="Calibri" w:eastAsia="Times New Roman" w:hAnsi="Calibri" w:cs="Calibri"/>
                <w:b/>
                <w:bCs/>
                <w:color w:val="000000"/>
              </w:rPr>
              <w:t>Notification No.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195">
              <w:rPr>
                <w:rFonts w:ascii="Calibri" w:eastAsia="Times New Roman" w:hAnsi="Calibri" w:cs="Calibri"/>
                <w:b/>
                <w:bCs/>
                <w:color w:val="000000"/>
              </w:rPr>
              <w:t>Reservation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195">
              <w:rPr>
                <w:rFonts w:ascii="Calibri" w:eastAsia="Times New Roman" w:hAnsi="Calibri" w:cs="Calibri"/>
                <w:b/>
                <w:bCs/>
                <w:color w:val="000000"/>
              </w:rPr>
              <w:t>Work Description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195">
              <w:rPr>
                <w:rFonts w:ascii="Calibri" w:eastAsia="Times New Roman" w:hAnsi="Calibri" w:cs="Calibri"/>
                <w:b/>
                <w:bCs/>
                <w:color w:val="000000"/>
              </w:rPr>
              <w:t>Service cost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19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Tender to be processed at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70195">
              <w:rPr>
                <w:rFonts w:ascii="Calibri" w:eastAsia="Times New Roman" w:hAnsi="Calibri" w:cs="Calibri"/>
                <w:b/>
                <w:bCs/>
                <w:color w:val="000000"/>
              </w:rPr>
              <w:t>Tender Cost</w:t>
            </w:r>
          </w:p>
        </w:tc>
      </w:tr>
      <w:tr w:rsidR="00F70195" w:rsidRPr="00F70195" w:rsidTr="0047322A">
        <w:trPr>
          <w:trHeight w:val="1919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12/24-25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 xml:space="preserve">proposal for Bifurcation of New 11KV P&lt;(&gt;&amp;&lt;)&gt;T Colony Feeder with VCB duly erecting 11 KV new VCB and extension of bay, stringing of 1000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mtrs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11KV XLPE AB Cable and 100mtrs of 11KV SCOH line by extending 11KV bay and erection of 1No.11KV feeder VCB at 33/11KV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Gandhamguda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Sub-Station pr</w:t>
            </w:r>
            <w:bookmarkStart w:id="0" w:name="_GoBack"/>
            <w:bookmarkEnd w:id="0"/>
            <w:r w:rsidRPr="00F70195">
              <w:rPr>
                <w:rFonts w:ascii="Calibri" w:eastAsia="Times New Roman" w:hAnsi="Calibri" w:cs="Calibri"/>
                <w:color w:val="000000"/>
              </w:rPr>
              <w:t xml:space="preserve">emises to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Peeram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cheruvu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arch in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Himayathsagar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section of Rajendranagar Sub-Division of Rajendranagar Division of Rajendranagar Circle under T&amp;D Improvement works(summer action plan 2024-2025).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5,43,937.07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DE/Const/RJNR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</w:tr>
      <w:tr w:rsidR="00F70195" w:rsidRPr="00F70195" w:rsidTr="0047322A">
        <w:trPr>
          <w:trHeight w:val="328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T-2428-70-06-01-01-002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195" w:rsidRPr="00F70195" w:rsidTr="0047322A">
        <w:trPr>
          <w:trHeight w:val="1886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12/24-25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195" w:rsidRPr="00F70195" w:rsidRDefault="00F70195" w:rsidP="00F7019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 xml:space="preserve">proposal for bifurcation of loads of 11KV Fort View feeder emanating from 33/11KV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Upparpally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SS by erection of 0.8KM new 11KV Line from 33/11KV Rajendranagar SS which includes stringing of 0.8KM line with 55 Sq.mm AAA Conductor duly tagging to the existing 11KV Fort View feeder near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diary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farm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chowrastha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along with erection of new 11KV feeder VCB in Rajendranagar section of Rajendranagar Sub-Division of Rajendranagar Division in Rajendranagar Circle under T&amp;D Improvements to original works (Summer Action Plan 2024-25).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4,07,267.00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DE/Const/RJNR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F70195" w:rsidRPr="00F70195" w:rsidTr="0047322A">
        <w:trPr>
          <w:trHeight w:val="328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T-2428-70-06-01-01-006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195" w:rsidRPr="00F70195" w:rsidTr="0047322A">
        <w:trPr>
          <w:trHeight w:val="2919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12/24-25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70195">
              <w:rPr>
                <w:rFonts w:ascii="Calibri" w:eastAsia="Times New Roman" w:hAnsi="Calibri" w:cs="Calibri"/>
              </w:rPr>
              <w:t>Reserved in ST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 xml:space="preserve">proposal for bifurcation of load of 11KV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Dharmagiri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AGL feeder emanating from 33KV/11KV Dharma Sai Sub-Station by erection of new 2.5KM 11KV Line from  the same Sub-Station which includes stringing of 2.5KM line with 55 Sq.mm  AAA Conductor over now proposed PSCC Poles along with erection of new 11KV VCB and bay extension at 33KV/11KV Dharma Sub-Station duly tagging to the existing 11KV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Dharmagiri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AGL feeder near Chary Nagar X Road premises and interlinking of existing 11KV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Dharmagiri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br/>
              <w:t xml:space="preserve">AGL feeder and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feeder at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Shatam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Rai timber leaf premises in Shamshabad section of Shamshabad Sub-Division of Rajendranagar Division of Rajendranagar Circle under T&amp;D Improvement works (Summer action plan 2024-2025).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8,64,980.25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SE/OP/RJNR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</w:tr>
      <w:tr w:rsidR="00F70195" w:rsidRPr="00F70195" w:rsidTr="0047322A">
        <w:trPr>
          <w:trHeight w:val="328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T-2428-70-06-01-01-007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195" w:rsidRPr="00F70195" w:rsidTr="0047322A">
        <w:trPr>
          <w:trHeight w:val="2296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12/24-25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 xml:space="preserve">proposal for bifurcation of 11KV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Durga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Nagar feeder emanating from 33/11KV MD Pally SS by stringing of 1.455KM of 11KV 3X185+70sq.mm XLPE AB Cable on existing towers/ poles and over now proposed poles for extending the supply from 33/11KV MD Pally Sub-Station up to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Durga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Nagar X Road location premises in MD Pally section of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Gaganpahad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Sub-Division of Rajendranagar Division of Rajendranagar Circle under T&amp;D Improvements to original works (Summer Action Plan-2025).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7,43,004.55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DE/Const/RJNR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1180</w:t>
            </w:r>
          </w:p>
        </w:tc>
      </w:tr>
      <w:tr w:rsidR="00F70195" w:rsidRPr="00F70195" w:rsidTr="0047322A">
        <w:trPr>
          <w:trHeight w:val="328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T-2428-70-06-01-01-010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195" w:rsidRPr="00F70195" w:rsidTr="0047322A">
        <w:trPr>
          <w:trHeight w:val="984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12/24-25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 xml:space="preserve">Replacement of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sunked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and broken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Virtified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tiles and Painting to the Control room and section office and other civil repair works at 33/11 KV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Gandhamguda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SS,  Rajendranagar Division, Rajendranagar Circle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1,68,115.00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EE/Civil/RR Zone-II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F70195" w:rsidRPr="00F70195" w:rsidTr="0047322A">
        <w:trPr>
          <w:trHeight w:val="328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989000002934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70195" w:rsidRPr="00F70195" w:rsidTr="0047322A">
        <w:trPr>
          <w:trHeight w:val="656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12/24-25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General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 xml:space="preserve">Providing accommodation for newly allotted post of AAO/HT Rajendranagar circle with </w:t>
            </w:r>
            <w:proofErr w:type="spellStart"/>
            <w:r w:rsidRPr="00F70195">
              <w:rPr>
                <w:rFonts w:ascii="Calibri" w:eastAsia="Times New Roman" w:hAnsi="Calibri" w:cs="Calibri"/>
                <w:color w:val="000000"/>
              </w:rPr>
              <w:t>Aluminium</w:t>
            </w:r>
            <w:proofErr w:type="spellEnd"/>
            <w:r w:rsidRPr="00F70195">
              <w:rPr>
                <w:rFonts w:ascii="Calibri" w:eastAsia="Times New Roman" w:hAnsi="Calibri" w:cs="Calibri"/>
                <w:color w:val="000000"/>
              </w:rPr>
              <w:t xml:space="preserve"> partition in SE/Operation/ Rajendranagar Circle office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1,23,226.00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EE/Civil/RR Zone-II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590</w:t>
            </w:r>
          </w:p>
        </w:tc>
      </w:tr>
      <w:tr w:rsidR="00F70195" w:rsidRPr="00F70195" w:rsidTr="0047322A">
        <w:trPr>
          <w:trHeight w:val="328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70195">
              <w:rPr>
                <w:rFonts w:ascii="Calibri" w:eastAsia="Times New Roman" w:hAnsi="Calibri" w:cs="Calibri"/>
                <w:color w:val="000000"/>
              </w:rPr>
              <w:t>989000002933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95" w:rsidRPr="00F70195" w:rsidRDefault="00F70195" w:rsidP="00F701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46862" w:rsidRDefault="00846862" w:rsidP="003F537D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7"/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AB6118" w:rsidTr="00CC06CA">
        <w:trPr>
          <w:trHeight w:val="637"/>
        </w:trPr>
        <w:tc>
          <w:tcPr>
            <w:tcW w:w="10980" w:type="dxa"/>
          </w:tcPr>
          <w:p w:rsidR="00AB6118" w:rsidRDefault="00AB6118" w:rsidP="00F70195">
            <w:pPr>
              <w:pStyle w:val="NoSpacing"/>
              <w:rPr>
                <w:rFonts w:ascii="Arial" w:hAnsi="Arial" w:cs="Arial"/>
              </w:rPr>
            </w:pPr>
            <w:r w:rsidRPr="00146493">
              <w:rPr>
                <w:rFonts w:ascii="Arial" w:hAnsi="Arial" w:cs="Arial"/>
              </w:rPr>
              <w:t xml:space="preserve">Short Tender </w:t>
            </w:r>
            <w:r w:rsidRPr="00F313C4">
              <w:rPr>
                <w:rFonts w:ascii="Arial" w:hAnsi="Arial" w:cs="Arial"/>
              </w:rPr>
              <w:t>:</w:t>
            </w:r>
            <w:r w:rsidRPr="0079091E">
              <w:rPr>
                <w:rFonts w:ascii="Arial" w:hAnsi="Arial" w:cs="Arial"/>
              </w:rPr>
              <w:t>(</w:t>
            </w:r>
            <w:r w:rsidR="00F313C4" w:rsidRPr="00F313C4">
              <w:rPr>
                <w:rFonts w:ascii="Arial" w:hAnsi="Arial" w:cs="Arial"/>
              </w:rPr>
              <w:t xml:space="preserve"> Sales from </w:t>
            </w:r>
            <w:r w:rsidR="00004EC4" w:rsidRPr="00215D0C">
              <w:rPr>
                <w:rFonts w:ascii="Arial" w:hAnsi="Arial" w:cs="Arial"/>
              </w:rPr>
              <w:t>0</w:t>
            </w:r>
            <w:r w:rsidR="00F70195" w:rsidRPr="00215D0C">
              <w:rPr>
                <w:rFonts w:ascii="Arial" w:hAnsi="Arial" w:cs="Arial"/>
              </w:rPr>
              <w:t>5</w:t>
            </w:r>
            <w:r w:rsidR="00004EC4" w:rsidRPr="00215D0C">
              <w:rPr>
                <w:rFonts w:ascii="Arial" w:hAnsi="Arial" w:cs="Arial"/>
              </w:rPr>
              <w:t>.02</w:t>
            </w:r>
            <w:r w:rsidR="00214934" w:rsidRPr="00215D0C">
              <w:rPr>
                <w:rFonts w:ascii="Arial" w:hAnsi="Arial" w:cs="Arial"/>
              </w:rPr>
              <w:t>.2025</w:t>
            </w:r>
            <w:r w:rsidR="00146493" w:rsidRPr="00215D0C">
              <w:rPr>
                <w:rFonts w:ascii="Arial" w:hAnsi="Arial" w:cs="Arial"/>
              </w:rPr>
              <w:t xml:space="preserve"> to </w:t>
            </w:r>
            <w:r w:rsidR="00004EC4" w:rsidRPr="00215D0C">
              <w:rPr>
                <w:rFonts w:ascii="Arial" w:hAnsi="Arial" w:cs="Arial"/>
              </w:rPr>
              <w:t>13.02</w:t>
            </w:r>
            <w:r w:rsidR="00214934" w:rsidRPr="00215D0C">
              <w:rPr>
                <w:rFonts w:ascii="Arial" w:hAnsi="Arial" w:cs="Arial"/>
              </w:rPr>
              <w:t>.2025</w:t>
            </w:r>
            <w:r w:rsidR="00215D0C" w:rsidRPr="00215D0C">
              <w:rPr>
                <w:rFonts w:ascii="Arial" w:hAnsi="Arial" w:cs="Arial"/>
              </w:rPr>
              <w:t xml:space="preserve"> </w:t>
            </w:r>
            <w:r w:rsidR="00F313C4" w:rsidRPr="00215D0C">
              <w:rPr>
                <w:rFonts w:ascii="Arial" w:hAnsi="Arial" w:cs="Arial"/>
              </w:rPr>
              <w:t>and</w:t>
            </w:r>
            <w:r w:rsidR="00F313C4" w:rsidRPr="00F313C4">
              <w:rPr>
                <w:rFonts w:ascii="Arial" w:hAnsi="Arial" w:cs="Arial"/>
              </w:rPr>
              <w:t xml:space="preserve"> last date of submission is </w:t>
            </w:r>
            <w:r w:rsidR="00004EC4">
              <w:rPr>
                <w:rFonts w:ascii="Arial" w:hAnsi="Arial" w:cs="Arial"/>
              </w:rPr>
              <w:t>14.02</w:t>
            </w:r>
            <w:r w:rsidR="00214934">
              <w:rPr>
                <w:rFonts w:ascii="Arial" w:hAnsi="Arial" w:cs="Arial"/>
              </w:rPr>
              <w:t>.2025</w:t>
            </w:r>
            <w:r w:rsidR="00146493" w:rsidRPr="00146493">
              <w:rPr>
                <w:rFonts w:ascii="Arial" w:hAnsi="Arial" w:cs="Arial"/>
              </w:rPr>
              <w:t xml:space="preserve"> up to 15:00 hrs and Opening on </w:t>
            </w:r>
            <w:r w:rsidR="00004EC4">
              <w:rPr>
                <w:rFonts w:ascii="Arial" w:hAnsi="Arial" w:cs="Arial"/>
              </w:rPr>
              <w:t>14.02</w:t>
            </w:r>
            <w:r w:rsidR="00214934">
              <w:rPr>
                <w:rFonts w:ascii="Arial" w:hAnsi="Arial" w:cs="Arial"/>
              </w:rPr>
              <w:t>.2025</w:t>
            </w:r>
            <w:r w:rsidR="00146493" w:rsidRPr="00146493">
              <w:rPr>
                <w:rFonts w:ascii="Arial" w:hAnsi="Arial" w:cs="Arial"/>
              </w:rPr>
              <w:t xml:space="preserve"> at 16:00 hrs</w:t>
            </w:r>
            <w:r w:rsidRPr="0079091E">
              <w:rPr>
                <w:rFonts w:ascii="Arial" w:hAnsi="Arial" w:cs="Arial"/>
              </w:rPr>
              <w:t>)</w:t>
            </w:r>
          </w:p>
        </w:tc>
      </w:tr>
      <w:tr w:rsidR="00AB6118" w:rsidTr="00CC06CA">
        <w:trPr>
          <w:trHeight w:val="338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under signed deserves the right to reject/cancel any or all the tenders without assigning any reasons.</w:t>
            </w:r>
          </w:p>
        </w:tc>
      </w:tr>
      <w:tr w:rsidR="00AB6118" w:rsidTr="00CC06CA">
        <w:trPr>
          <w:trHeight w:val="257"/>
        </w:trPr>
        <w:tc>
          <w:tcPr>
            <w:tcW w:w="10980" w:type="dxa"/>
          </w:tcPr>
          <w:p w:rsidR="00AB6118" w:rsidRDefault="00AB6118" w:rsidP="0014649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the tender specification once paid will not be refunded under any Circumstances.</w:t>
            </w:r>
          </w:p>
        </w:tc>
      </w:tr>
    </w:tbl>
    <w:p w:rsidR="00F313C4" w:rsidRDefault="00F313C4" w:rsidP="003F537D">
      <w:pPr>
        <w:pStyle w:val="NoSpacing"/>
        <w:jc w:val="both"/>
        <w:rPr>
          <w:rFonts w:ascii="Arial" w:hAnsi="Arial" w:cs="Arial"/>
        </w:rPr>
      </w:pPr>
    </w:p>
    <w:p w:rsidR="003F537D" w:rsidRDefault="00A35413" w:rsidP="003F537D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Phone No: </w:t>
      </w:r>
      <w:r w:rsidR="003F537D">
        <w:rPr>
          <w:rFonts w:ascii="Arial" w:hAnsi="Arial" w:cs="Arial"/>
        </w:rPr>
        <w:t xml:space="preserve"> 040-23431236.</w:t>
      </w:r>
    </w:p>
    <w:p w:rsidR="00725F30" w:rsidRDefault="00725F30" w:rsidP="003F537D">
      <w:pPr>
        <w:pStyle w:val="NoSpacing"/>
        <w:jc w:val="both"/>
        <w:rPr>
          <w:rFonts w:ascii="Arial" w:hAnsi="Arial" w:cs="Arial"/>
        </w:rPr>
      </w:pPr>
    </w:p>
    <w:p w:rsidR="003F537D" w:rsidRPr="008F0159" w:rsidRDefault="003F537D" w:rsidP="00F70195">
      <w:pPr>
        <w:pStyle w:val="NoSpacing"/>
        <w:rPr>
          <w:rFonts w:ascii="Arial" w:hAnsi="Arial" w:cs="Arial"/>
          <w:b/>
          <w:color w:val="FFFFFF" w:themeColor="background1"/>
        </w:rPr>
      </w:pPr>
      <w:r w:rsidRPr="008F0159">
        <w:rPr>
          <w:rFonts w:ascii="Arial" w:hAnsi="Arial" w:cs="Arial"/>
          <w:b/>
          <w:color w:val="FFFFFF" w:themeColor="background1"/>
        </w:rPr>
        <w:t>/-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Superintending Engineer,</w:t>
      </w:r>
    </w:p>
    <w:p w:rsidR="003F537D" w:rsidRPr="00AA7755" w:rsidRDefault="003F537D" w:rsidP="003F537D">
      <w:pPr>
        <w:pStyle w:val="NoSpacing"/>
        <w:ind w:left="5760"/>
        <w:jc w:val="center"/>
        <w:rPr>
          <w:rFonts w:ascii="Arial" w:hAnsi="Arial" w:cs="Arial"/>
          <w:b/>
        </w:rPr>
      </w:pPr>
      <w:r w:rsidRPr="00AA7755">
        <w:rPr>
          <w:rFonts w:ascii="Arial" w:hAnsi="Arial" w:cs="Arial"/>
          <w:b/>
        </w:rPr>
        <w:t>Operation Rajendranagar Circle</w:t>
      </w:r>
    </w:p>
    <w:p w:rsidR="00AB6118" w:rsidRDefault="00AB6118" w:rsidP="003F537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r w:rsidR="006A565E">
        <w:rPr>
          <w:rFonts w:ascii="Arial" w:hAnsi="Arial" w:cs="Arial"/>
        </w:rPr>
        <w:t>Submitted to</w:t>
      </w:r>
      <w:r>
        <w:rPr>
          <w:rFonts w:ascii="Arial" w:hAnsi="Arial" w:cs="Arial"/>
        </w:rPr>
        <w:t>:</w:t>
      </w:r>
    </w:p>
    <w:p w:rsidR="005A2275" w:rsidRDefault="006A565E" w:rsidP="007111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Chief General manager/IT -  for favor of publishing in website</w:t>
      </w: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Default="005A2275" w:rsidP="00711165">
      <w:pPr>
        <w:pStyle w:val="NoSpacing"/>
        <w:rPr>
          <w:rFonts w:ascii="Arial" w:hAnsi="Arial" w:cs="Arial"/>
        </w:rPr>
      </w:pPr>
    </w:p>
    <w:p w:rsidR="005A2275" w:rsidRPr="00AF5352" w:rsidRDefault="005A2275" w:rsidP="00711165">
      <w:pPr>
        <w:pStyle w:val="NoSpacing"/>
        <w:rPr>
          <w:rFonts w:ascii="Arial" w:hAnsi="Arial" w:cs="Arial"/>
        </w:rPr>
      </w:pPr>
    </w:p>
    <w:sectPr w:rsidR="005A2275" w:rsidRPr="00AF5352" w:rsidSect="00C0481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B6C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C7079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41CDC"/>
    <w:multiLevelType w:val="hybridMultilevel"/>
    <w:tmpl w:val="82708B44"/>
    <w:lvl w:ilvl="0" w:tplc="467217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411E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42744"/>
    <w:multiLevelType w:val="hybridMultilevel"/>
    <w:tmpl w:val="F12250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DOCGUID" w:val="c3b8ed04-3c37-4982-9383-13aa7ed2b678"/>
  </w:docVars>
  <w:rsids>
    <w:rsidRoot w:val="00AF5352"/>
    <w:rsid w:val="00003C07"/>
    <w:rsid w:val="00004EC4"/>
    <w:rsid w:val="0000753A"/>
    <w:rsid w:val="00021C4A"/>
    <w:rsid w:val="00025AA2"/>
    <w:rsid w:val="00026441"/>
    <w:rsid w:val="00055ED7"/>
    <w:rsid w:val="00057C69"/>
    <w:rsid w:val="00097EAF"/>
    <w:rsid w:val="000A50AF"/>
    <w:rsid w:val="000F53AA"/>
    <w:rsid w:val="000F6473"/>
    <w:rsid w:val="00110AAB"/>
    <w:rsid w:val="001128CF"/>
    <w:rsid w:val="0011389E"/>
    <w:rsid w:val="00146493"/>
    <w:rsid w:val="00146605"/>
    <w:rsid w:val="00163D68"/>
    <w:rsid w:val="0017360E"/>
    <w:rsid w:val="00177079"/>
    <w:rsid w:val="001B254B"/>
    <w:rsid w:val="001B7B36"/>
    <w:rsid w:val="001C79CF"/>
    <w:rsid w:val="001E12FF"/>
    <w:rsid w:val="001E2739"/>
    <w:rsid w:val="001E4D93"/>
    <w:rsid w:val="001E6B20"/>
    <w:rsid w:val="001F0D80"/>
    <w:rsid w:val="001F1728"/>
    <w:rsid w:val="002006D7"/>
    <w:rsid w:val="00214934"/>
    <w:rsid w:val="00215D0C"/>
    <w:rsid w:val="0026060B"/>
    <w:rsid w:val="002747F1"/>
    <w:rsid w:val="00275A84"/>
    <w:rsid w:val="002843DB"/>
    <w:rsid w:val="00292C9F"/>
    <w:rsid w:val="00293787"/>
    <w:rsid w:val="002A055C"/>
    <w:rsid w:val="002A71CB"/>
    <w:rsid w:val="002E41CC"/>
    <w:rsid w:val="0031796F"/>
    <w:rsid w:val="0032037A"/>
    <w:rsid w:val="00326EAD"/>
    <w:rsid w:val="00350892"/>
    <w:rsid w:val="00352713"/>
    <w:rsid w:val="00360523"/>
    <w:rsid w:val="003643EF"/>
    <w:rsid w:val="00381911"/>
    <w:rsid w:val="00383798"/>
    <w:rsid w:val="003A3C0B"/>
    <w:rsid w:val="003E1039"/>
    <w:rsid w:val="003F537D"/>
    <w:rsid w:val="004129B9"/>
    <w:rsid w:val="00436508"/>
    <w:rsid w:val="00461C98"/>
    <w:rsid w:val="0047322A"/>
    <w:rsid w:val="004770A2"/>
    <w:rsid w:val="00480DA5"/>
    <w:rsid w:val="004814AD"/>
    <w:rsid w:val="004833DC"/>
    <w:rsid w:val="00495135"/>
    <w:rsid w:val="004B509C"/>
    <w:rsid w:val="004C4603"/>
    <w:rsid w:val="004D0AE9"/>
    <w:rsid w:val="004E4954"/>
    <w:rsid w:val="005055D5"/>
    <w:rsid w:val="00510B91"/>
    <w:rsid w:val="00513930"/>
    <w:rsid w:val="005230AD"/>
    <w:rsid w:val="00556404"/>
    <w:rsid w:val="0056252E"/>
    <w:rsid w:val="00597AEE"/>
    <w:rsid w:val="005A2275"/>
    <w:rsid w:val="005B5110"/>
    <w:rsid w:val="005B514C"/>
    <w:rsid w:val="005B6220"/>
    <w:rsid w:val="005C64E3"/>
    <w:rsid w:val="005E38A9"/>
    <w:rsid w:val="006101D0"/>
    <w:rsid w:val="00622C76"/>
    <w:rsid w:val="00626A61"/>
    <w:rsid w:val="0063137E"/>
    <w:rsid w:val="0065411C"/>
    <w:rsid w:val="00662262"/>
    <w:rsid w:val="006705DD"/>
    <w:rsid w:val="00670E3C"/>
    <w:rsid w:val="00686F31"/>
    <w:rsid w:val="00692BB7"/>
    <w:rsid w:val="006A399A"/>
    <w:rsid w:val="006A565E"/>
    <w:rsid w:val="006A64B0"/>
    <w:rsid w:val="006B1CB9"/>
    <w:rsid w:val="006C0D99"/>
    <w:rsid w:val="006C1A41"/>
    <w:rsid w:val="006D0A9F"/>
    <w:rsid w:val="006D37FF"/>
    <w:rsid w:val="006E1ED9"/>
    <w:rsid w:val="006E77C4"/>
    <w:rsid w:val="006F022E"/>
    <w:rsid w:val="006F63AD"/>
    <w:rsid w:val="0070626F"/>
    <w:rsid w:val="00710B98"/>
    <w:rsid w:val="00711165"/>
    <w:rsid w:val="007149CD"/>
    <w:rsid w:val="00725F30"/>
    <w:rsid w:val="007310DA"/>
    <w:rsid w:val="007346D6"/>
    <w:rsid w:val="0073612C"/>
    <w:rsid w:val="00744814"/>
    <w:rsid w:val="00745232"/>
    <w:rsid w:val="007871EF"/>
    <w:rsid w:val="0079091E"/>
    <w:rsid w:val="007A0406"/>
    <w:rsid w:val="007A44EF"/>
    <w:rsid w:val="007A573D"/>
    <w:rsid w:val="007A5A7C"/>
    <w:rsid w:val="007A72DF"/>
    <w:rsid w:val="007B0ED0"/>
    <w:rsid w:val="007B1715"/>
    <w:rsid w:val="007D275A"/>
    <w:rsid w:val="007D6B31"/>
    <w:rsid w:val="007F0884"/>
    <w:rsid w:val="0081002B"/>
    <w:rsid w:val="008219EE"/>
    <w:rsid w:val="00842CC6"/>
    <w:rsid w:val="00846862"/>
    <w:rsid w:val="008570D0"/>
    <w:rsid w:val="008B1186"/>
    <w:rsid w:val="008C02D5"/>
    <w:rsid w:val="008D4DD8"/>
    <w:rsid w:val="008E577D"/>
    <w:rsid w:val="008F0159"/>
    <w:rsid w:val="008F0607"/>
    <w:rsid w:val="009047D5"/>
    <w:rsid w:val="00910E7A"/>
    <w:rsid w:val="00917618"/>
    <w:rsid w:val="00927F0F"/>
    <w:rsid w:val="00934544"/>
    <w:rsid w:val="00934EF7"/>
    <w:rsid w:val="009433A8"/>
    <w:rsid w:val="009634B6"/>
    <w:rsid w:val="00987C6E"/>
    <w:rsid w:val="009A3318"/>
    <w:rsid w:val="009A6FCA"/>
    <w:rsid w:val="009B33FA"/>
    <w:rsid w:val="009E0693"/>
    <w:rsid w:val="009F0151"/>
    <w:rsid w:val="009F52D6"/>
    <w:rsid w:val="00A1643B"/>
    <w:rsid w:val="00A35413"/>
    <w:rsid w:val="00A52941"/>
    <w:rsid w:val="00A90C7D"/>
    <w:rsid w:val="00AA7755"/>
    <w:rsid w:val="00AB16BA"/>
    <w:rsid w:val="00AB3D28"/>
    <w:rsid w:val="00AB54E9"/>
    <w:rsid w:val="00AB6118"/>
    <w:rsid w:val="00AC5FE8"/>
    <w:rsid w:val="00AC6A0B"/>
    <w:rsid w:val="00AD28B5"/>
    <w:rsid w:val="00AD5907"/>
    <w:rsid w:val="00AE3CCD"/>
    <w:rsid w:val="00AE4B9E"/>
    <w:rsid w:val="00AF5352"/>
    <w:rsid w:val="00B0057F"/>
    <w:rsid w:val="00B15107"/>
    <w:rsid w:val="00B15ED7"/>
    <w:rsid w:val="00B1730C"/>
    <w:rsid w:val="00B33383"/>
    <w:rsid w:val="00B40620"/>
    <w:rsid w:val="00B4470A"/>
    <w:rsid w:val="00B453C8"/>
    <w:rsid w:val="00B4677C"/>
    <w:rsid w:val="00B54DFF"/>
    <w:rsid w:val="00B71D2D"/>
    <w:rsid w:val="00B74C71"/>
    <w:rsid w:val="00B9567A"/>
    <w:rsid w:val="00B97C86"/>
    <w:rsid w:val="00BB43D5"/>
    <w:rsid w:val="00BB7C51"/>
    <w:rsid w:val="00BC45CF"/>
    <w:rsid w:val="00BD0A14"/>
    <w:rsid w:val="00BE2EA3"/>
    <w:rsid w:val="00BF64A0"/>
    <w:rsid w:val="00C01EE7"/>
    <w:rsid w:val="00C02288"/>
    <w:rsid w:val="00C0481C"/>
    <w:rsid w:val="00C12EA6"/>
    <w:rsid w:val="00C135A1"/>
    <w:rsid w:val="00C14F32"/>
    <w:rsid w:val="00C15D7F"/>
    <w:rsid w:val="00C27783"/>
    <w:rsid w:val="00C30896"/>
    <w:rsid w:val="00C368A3"/>
    <w:rsid w:val="00C40B0C"/>
    <w:rsid w:val="00C6245F"/>
    <w:rsid w:val="00C64311"/>
    <w:rsid w:val="00C73007"/>
    <w:rsid w:val="00C740A3"/>
    <w:rsid w:val="00C77815"/>
    <w:rsid w:val="00C84C8D"/>
    <w:rsid w:val="00C87B98"/>
    <w:rsid w:val="00C9260A"/>
    <w:rsid w:val="00CA2087"/>
    <w:rsid w:val="00CC06CA"/>
    <w:rsid w:val="00CC7D24"/>
    <w:rsid w:val="00CC7E4B"/>
    <w:rsid w:val="00CD5555"/>
    <w:rsid w:val="00CF162B"/>
    <w:rsid w:val="00CF339C"/>
    <w:rsid w:val="00D10C59"/>
    <w:rsid w:val="00D124A5"/>
    <w:rsid w:val="00D30411"/>
    <w:rsid w:val="00D319B9"/>
    <w:rsid w:val="00D34C66"/>
    <w:rsid w:val="00D43FCB"/>
    <w:rsid w:val="00D5416C"/>
    <w:rsid w:val="00D750DD"/>
    <w:rsid w:val="00D9190A"/>
    <w:rsid w:val="00D9489E"/>
    <w:rsid w:val="00DA336C"/>
    <w:rsid w:val="00DB3AC5"/>
    <w:rsid w:val="00DB642D"/>
    <w:rsid w:val="00DC1124"/>
    <w:rsid w:val="00DF09BB"/>
    <w:rsid w:val="00E17CB9"/>
    <w:rsid w:val="00E2048A"/>
    <w:rsid w:val="00E30717"/>
    <w:rsid w:val="00E35587"/>
    <w:rsid w:val="00E4207F"/>
    <w:rsid w:val="00E62ADD"/>
    <w:rsid w:val="00E715C0"/>
    <w:rsid w:val="00E8261D"/>
    <w:rsid w:val="00E94954"/>
    <w:rsid w:val="00EA3DCD"/>
    <w:rsid w:val="00EB0198"/>
    <w:rsid w:val="00EB607C"/>
    <w:rsid w:val="00EC5B45"/>
    <w:rsid w:val="00EC6FFE"/>
    <w:rsid w:val="00ED0583"/>
    <w:rsid w:val="00EE5FA8"/>
    <w:rsid w:val="00EF6F0F"/>
    <w:rsid w:val="00F07D57"/>
    <w:rsid w:val="00F313C4"/>
    <w:rsid w:val="00F3746E"/>
    <w:rsid w:val="00F41EB7"/>
    <w:rsid w:val="00F60809"/>
    <w:rsid w:val="00F64347"/>
    <w:rsid w:val="00F70195"/>
    <w:rsid w:val="00F9511F"/>
    <w:rsid w:val="00FA67DF"/>
    <w:rsid w:val="00FB245F"/>
    <w:rsid w:val="00FC2B63"/>
    <w:rsid w:val="00FD748D"/>
    <w:rsid w:val="00FF0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6A108"/>
  <w15:docId w15:val="{499DF78C-A0D6-40B8-9B45-106C05C0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352"/>
    <w:pPr>
      <w:spacing w:after="0" w:line="240" w:lineRule="auto"/>
    </w:pPr>
  </w:style>
  <w:style w:type="table" w:styleId="TableGrid">
    <w:name w:val="Table Grid"/>
    <w:basedOn w:val="TableNormal"/>
    <w:uiPriority w:val="59"/>
    <w:rsid w:val="00CA2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138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884"/>
    <w:pPr>
      <w:ind w:left="720"/>
      <w:contextualSpacing/>
    </w:pPr>
  </w:style>
  <w:style w:type="paragraph" w:customStyle="1" w:styleId="Standardparagraph">
    <w:name w:val="* Standard paragraph"/>
    <w:uiPriority w:val="99"/>
    <w:rsid w:val="006C0D99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C852-E8A4-4B66-ABCC-01191801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2025-01-08T08:11:00Z</cp:lastPrinted>
  <dcterms:created xsi:type="dcterms:W3CDTF">2025-01-08T07:47:00Z</dcterms:created>
  <dcterms:modified xsi:type="dcterms:W3CDTF">2025-02-06T05:37:00Z</dcterms:modified>
</cp:coreProperties>
</file>